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The Tax Cut and Jobs Act 2017</w:t>
      </w:r>
    </w:p>
    <w:p>
      <w:pPr>
        <w:pStyle w:val="style0"/>
        <w:jc w:val="center"/>
        <w:rPr/>
      </w:pPr>
      <w:r>
        <w:t>Name</w:t>
      </w:r>
    </w:p>
    <w:p>
      <w:pPr>
        <w:pStyle w:val="style0"/>
        <w:jc w:val="center"/>
        <w:rPr/>
      </w:pPr>
      <w:r>
        <w:t>Institution</w:t>
      </w: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 xml:space="preserve">The </w:t>
      </w:r>
      <w:r>
        <w:t>Tax Cut and Jobs Act 2017</w:t>
      </w:r>
    </w:p>
    <w:p>
      <w:pPr>
        <w:pStyle w:val="style0"/>
        <w:jc w:val="center"/>
        <w:rPr>
          <w:b/>
          <w:bCs/>
        </w:rPr>
      </w:pPr>
      <w:r>
        <w:rPr>
          <w:b/>
          <w:bCs/>
        </w:rPr>
        <w:t>Introduction</w:t>
      </w:r>
    </w:p>
    <w:p>
      <w:pPr>
        <w:pStyle w:val="style0"/>
        <w:rPr/>
      </w:pPr>
      <w:r>
        <w:rPr>
          <w:b/>
          <w:bCs/>
        </w:rPr>
        <w:t xml:space="preserve">             </w:t>
      </w:r>
      <w:r>
        <w:t>The T</w:t>
      </w:r>
      <w:r>
        <w:t>ax Cut and Jobs Act</w:t>
      </w:r>
      <w:r>
        <w:t xml:space="preserve"> </w:t>
      </w:r>
      <w:r>
        <w:t xml:space="preserve">2017 </w:t>
      </w:r>
      <w:r>
        <w:t xml:space="preserve">was the most </w:t>
      </w:r>
      <w:r>
        <w:t>considerable</w:t>
      </w:r>
      <w:r>
        <w:t xml:space="preserve"> tax </w:t>
      </w:r>
      <w:r>
        <w:t>restructuring</w:t>
      </w:r>
      <w:r>
        <w:t xml:space="preserve"> in the US for the last 30years. The </w:t>
      </w:r>
      <w:r>
        <w:t>Act</w:t>
      </w:r>
      <w:r>
        <w:t xml:space="preserve"> brought the US tax rate below that of most </w:t>
      </w:r>
      <w:r>
        <w:t>nations</w:t>
      </w:r>
      <w:r>
        <w:t xml:space="preserve"> in the Organization for Economic Co-operation and </w:t>
      </w:r>
      <w:r>
        <w:t>Development(</w:t>
      </w:r>
      <w:r>
        <w:t xml:space="preserve">OECD). </w:t>
      </w:r>
      <w:r>
        <w:t>It</w:t>
      </w:r>
      <w:r>
        <w:t xml:space="preserve"> decreased </w:t>
      </w:r>
      <w:r>
        <w:t>businesses</w:t>
      </w:r>
      <w:r>
        <w:t>'</w:t>
      </w:r>
      <w:r>
        <w:t xml:space="preserve"> </w:t>
      </w:r>
      <w:r>
        <w:t xml:space="preserve">tax rate to 21%, from the previous 35%. Besides, the Act made small deductions to the tax rates of most </w:t>
      </w:r>
      <w:r>
        <w:t xml:space="preserve">personal </w:t>
      </w:r>
      <w:r>
        <w:t>income brackets</w:t>
      </w:r>
      <w:r>
        <w:t xml:space="preserve">. </w:t>
      </w:r>
      <w:r>
        <w:t>The tax changes had a remarkable impact on the country</w:t>
      </w:r>
      <w:r>
        <w:t>'</w:t>
      </w:r>
      <w:r>
        <w:t>s tax system.</w:t>
      </w:r>
    </w:p>
    <w:p>
      <w:pPr>
        <w:pStyle w:val="style0"/>
        <w:jc w:val="center"/>
        <w:rPr>
          <w:b/>
          <w:bCs/>
        </w:rPr>
      </w:pPr>
      <w:r>
        <w:rPr>
          <w:b/>
          <w:bCs/>
        </w:rPr>
        <w:t xml:space="preserve">Changes of the </w:t>
      </w:r>
      <w:r>
        <w:rPr>
          <w:b/>
          <w:bCs/>
        </w:rPr>
        <w:t>Act on Major Tax Provisions</w:t>
      </w:r>
    </w:p>
    <w:p>
      <w:pPr>
        <w:pStyle w:val="style0"/>
        <w:rPr/>
      </w:pPr>
      <w:r>
        <w:t>The law made changes to both individual and business tax provisions as follows;</w:t>
      </w:r>
    </w:p>
    <w:p>
      <w:pPr>
        <w:pStyle w:val="style0"/>
        <w:rPr>
          <w:b/>
          <w:bCs/>
        </w:rPr>
      </w:pPr>
      <w:r>
        <w:rPr>
          <w:b/>
          <w:bCs/>
        </w:rPr>
        <w:t>Impact the Act on I</w:t>
      </w:r>
      <w:r>
        <w:rPr>
          <w:b/>
          <w:bCs/>
        </w:rPr>
        <w:t>ndividuals</w:t>
      </w:r>
      <w:r>
        <w:rPr>
          <w:b/>
          <w:bCs/>
        </w:rPr>
        <w:t xml:space="preserve"> Tax Provisions</w:t>
      </w:r>
    </w:p>
    <w:p>
      <w:pPr>
        <w:pStyle w:val="style0"/>
        <w:rPr/>
      </w:pPr>
      <w:r>
        <w:t xml:space="preserve">       </w:t>
      </w:r>
      <w:r>
        <w:t>The T</w:t>
      </w:r>
      <w:r>
        <w:t>ax Act</w:t>
      </w:r>
      <w:r>
        <w:t xml:space="preserve"> </w:t>
      </w:r>
      <w:r>
        <w:t xml:space="preserve">2017 </w:t>
      </w:r>
      <w:r>
        <w:t>introduced noteworthy</w:t>
      </w:r>
      <w:r>
        <w:t xml:space="preserve"> tax</w:t>
      </w:r>
      <w:r>
        <w:t xml:space="preserve"> adjustments for indivi</w:t>
      </w:r>
      <w:r>
        <w:t>duals</w:t>
      </w:r>
      <w:r>
        <w:t>. M</w:t>
      </w:r>
      <w:r>
        <w:t>uch</w:t>
      </w:r>
      <w:r>
        <w:t xml:space="preserve"> of the </w:t>
      </w:r>
      <w:r>
        <w:t>change</w:t>
      </w:r>
      <w:r>
        <w:t xml:space="preserve">s </w:t>
      </w:r>
      <w:r>
        <w:t>w</w:t>
      </w:r>
      <w:r>
        <w:t>ere effective since January</w:t>
      </w:r>
      <w:r>
        <w:t xml:space="preserve"> 201</w:t>
      </w:r>
      <w:r>
        <w:t xml:space="preserve">8, </w:t>
      </w:r>
      <w:r>
        <w:t>expir</w:t>
      </w:r>
      <w:r>
        <w:t>ing</w:t>
      </w:r>
      <w:r>
        <w:t xml:space="preserve"> in 2025. The Act maintained the seven tax brackets but adjusted </w:t>
      </w:r>
      <w:r>
        <w:t xml:space="preserve">most of </w:t>
      </w:r>
      <w:r>
        <w:t>the tax rates up to 2025 as follows;</w:t>
      </w:r>
    </w:p>
    <w:tbl>
      <w:tblPr>
        <w:tblStyle w:val="style154"/>
        <w:tblW w:w="0" w:type="auto"/>
        <w:tblLook w:val="04A0" w:firstRow="1" w:lastRow="0" w:firstColumn="1" w:lastColumn="0" w:noHBand="0" w:noVBand="1"/>
      </w:tblPr>
      <w:tblGrid>
        <w:gridCol w:w="1975"/>
        <w:gridCol w:w="1975"/>
        <w:gridCol w:w="1975"/>
        <w:gridCol w:w="1890"/>
      </w:tblGrid>
      <w:tr>
        <w:trPr/>
        <w:tc>
          <w:tcPr>
            <w:tcW w:w="1975" w:type="dxa"/>
            <w:tcBorders/>
          </w:tcPr>
          <w:p>
            <w:pPr>
              <w:pStyle w:val="style0"/>
              <w:rPr/>
            </w:pPr>
            <w:r>
              <w:t>Taxable Income over</w:t>
            </w:r>
          </w:p>
        </w:tc>
        <w:tc>
          <w:tcPr>
            <w:tcW w:w="1975" w:type="dxa"/>
            <w:tcBorders/>
          </w:tcPr>
          <w:p>
            <w:pPr>
              <w:pStyle w:val="style0"/>
              <w:rPr/>
            </w:pPr>
            <w:r>
              <w:t>Up to</w:t>
            </w:r>
          </w:p>
        </w:tc>
        <w:tc>
          <w:tcPr>
            <w:tcW w:w="1975" w:type="dxa"/>
            <w:tcBorders/>
          </w:tcPr>
          <w:p>
            <w:pPr>
              <w:pStyle w:val="style0"/>
              <w:rPr/>
            </w:pPr>
            <w:r>
              <w:t>2017</w:t>
            </w:r>
          </w:p>
        </w:tc>
        <w:tc>
          <w:tcPr>
            <w:tcW w:w="1890" w:type="dxa"/>
            <w:tcBorders/>
          </w:tcPr>
          <w:p>
            <w:pPr>
              <w:pStyle w:val="style0"/>
              <w:rPr/>
            </w:pPr>
            <w:r>
              <w:t>2018-2025</w:t>
            </w:r>
          </w:p>
        </w:tc>
      </w:tr>
      <w:tr>
        <w:tblPrEx/>
        <w:trPr/>
        <w:tc>
          <w:tcPr>
            <w:tcW w:w="1975" w:type="dxa"/>
            <w:tcBorders/>
          </w:tcPr>
          <w:p>
            <w:pPr>
              <w:pStyle w:val="style0"/>
              <w:rPr/>
            </w:pPr>
            <w:r>
              <w:t>$0</w:t>
            </w:r>
          </w:p>
        </w:tc>
        <w:tc>
          <w:tcPr>
            <w:tcW w:w="1975" w:type="dxa"/>
            <w:tcBorders/>
          </w:tcPr>
          <w:p>
            <w:pPr>
              <w:pStyle w:val="style0"/>
              <w:rPr/>
            </w:pPr>
            <w:r>
              <w:t>$9,525</w:t>
            </w:r>
          </w:p>
        </w:tc>
        <w:tc>
          <w:tcPr>
            <w:tcW w:w="1975" w:type="dxa"/>
            <w:tcBorders/>
          </w:tcPr>
          <w:p>
            <w:pPr>
              <w:pStyle w:val="style0"/>
              <w:rPr/>
            </w:pPr>
            <w:r>
              <w:t>10%</w:t>
            </w:r>
          </w:p>
        </w:tc>
        <w:tc>
          <w:tcPr>
            <w:tcW w:w="1890" w:type="dxa"/>
            <w:tcBorders/>
          </w:tcPr>
          <w:p>
            <w:pPr>
              <w:pStyle w:val="style0"/>
              <w:rPr/>
            </w:pPr>
            <w:r>
              <w:t>10%</w:t>
            </w:r>
          </w:p>
        </w:tc>
      </w:tr>
      <w:tr>
        <w:tblPrEx/>
        <w:trPr/>
        <w:tc>
          <w:tcPr>
            <w:tcW w:w="1975" w:type="dxa"/>
            <w:tcBorders/>
          </w:tcPr>
          <w:p>
            <w:pPr>
              <w:pStyle w:val="style0"/>
              <w:rPr/>
            </w:pPr>
            <w:r>
              <w:t>$9,526</w:t>
            </w:r>
          </w:p>
        </w:tc>
        <w:tc>
          <w:tcPr>
            <w:tcW w:w="1975" w:type="dxa"/>
            <w:tcBorders/>
          </w:tcPr>
          <w:p>
            <w:pPr>
              <w:pStyle w:val="style0"/>
              <w:rPr/>
            </w:pPr>
            <w:r>
              <w:t>$38,700</w:t>
            </w:r>
          </w:p>
        </w:tc>
        <w:tc>
          <w:tcPr>
            <w:tcW w:w="1975" w:type="dxa"/>
            <w:tcBorders/>
          </w:tcPr>
          <w:p>
            <w:pPr>
              <w:pStyle w:val="style0"/>
              <w:rPr/>
            </w:pPr>
            <w:r>
              <w:t>15%</w:t>
            </w:r>
          </w:p>
        </w:tc>
        <w:tc>
          <w:tcPr>
            <w:tcW w:w="1890" w:type="dxa"/>
            <w:tcBorders/>
          </w:tcPr>
          <w:p>
            <w:pPr>
              <w:pStyle w:val="style0"/>
              <w:rPr/>
            </w:pPr>
            <w:r>
              <w:t>12%</w:t>
            </w:r>
          </w:p>
        </w:tc>
      </w:tr>
      <w:tr>
        <w:tblPrEx/>
        <w:trPr/>
        <w:tc>
          <w:tcPr>
            <w:tcW w:w="1975" w:type="dxa"/>
            <w:tcBorders/>
          </w:tcPr>
          <w:p>
            <w:pPr>
              <w:pStyle w:val="style0"/>
              <w:rPr/>
            </w:pPr>
            <w:r>
              <w:t>$38,701</w:t>
            </w:r>
          </w:p>
        </w:tc>
        <w:tc>
          <w:tcPr>
            <w:tcW w:w="1975" w:type="dxa"/>
            <w:tcBorders/>
          </w:tcPr>
          <w:p>
            <w:pPr>
              <w:pStyle w:val="style0"/>
              <w:rPr/>
            </w:pPr>
            <w:r>
              <w:t>$82,500</w:t>
            </w:r>
          </w:p>
        </w:tc>
        <w:tc>
          <w:tcPr>
            <w:tcW w:w="1975" w:type="dxa"/>
            <w:tcBorders/>
          </w:tcPr>
          <w:p>
            <w:pPr>
              <w:pStyle w:val="style0"/>
              <w:rPr/>
            </w:pPr>
            <w:r>
              <w:t>25%</w:t>
            </w:r>
          </w:p>
        </w:tc>
        <w:tc>
          <w:tcPr>
            <w:tcW w:w="1890" w:type="dxa"/>
            <w:tcBorders/>
          </w:tcPr>
          <w:p>
            <w:pPr>
              <w:pStyle w:val="style0"/>
              <w:rPr/>
            </w:pPr>
            <w:r>
              <w:t>22%</w:t>
            </w:r>
          </w:p>
        </w:tc>
      </w:tr>
      <w:tr>
        <w:tblPrEx/>
        <w:trPr/>
        <w:tc>
          <w:tcPr>
            <w:tcW w:w="1975" w:type="dxa"/>
            <w:tcBorders/>
          </w:tcPr>
          <w:p>
            <w:pPr>
              <w:pStyle w:val="style0"/>
              <w:rPr/>
            </w:pPr>
            <w:r>
              <w:t>$82,501</w:t>
            </w:r>
          </w:p>
        </w:tc>
        <w:tc>
          <w:tcPr>
            <w:tcW w:w="1975" w:type="dxa"/>
            <w:tcBorders/>
          </w:tcPr>
          <w:p>
            <w:pPr>
              <w:pStyle w:val="style0"/>
              <w:rPr/>
            </w:pPr>
            <w:r>
              <w:t>$157,500</w:t>
            </w:r>
          </w:p>
        </w:tc>
        <w:tc>
          <w:tcPr>
            <w:tcW w:w="1975" w:type="dxa"/>
            <w:tcBorders/>
          </w:tcPr>
          <w:p>
            <w:pPr>
              <w:pStyle w:val="style0"/>
              <w:rPr/>
            </w:pPr>
            <w:r>
              <w:t>28%</w:t>
            </w:r>
          </w:p>
        </w:tc>
        <w:tc>
          <w:tcPr>
            <w:tcW w:w="1890" w:type="dxa"/>
            <w:tcBorders/>
          </w:tcPr>
          <w:p>
            <w:pPr>
              <w:pStyle w:val="style0"/>
              <w:rPr/>
            </w:pPr>
            <w:r>
              <w:t>24%</w:t>
            </w:r>
          </w:p>
        </w:tc>
      </w:tr>
      <w:tr>
        <w:tblPrEx/>
        <w:trPr/>
        <w:tc>
          <w:tcPr>
            <w:tcW w:w="1975" w:type="dxa"/>
            <w:tcBorders/>
          </w:tcPr>
          <w:p>
            <w:pPr>
              <w:pStyle w:val="style0"/>
              <w:rPr/>
            </w:pPr>
            <w:r>
              <w:t>$157,501</w:t>
            </w:r>
          </w:p>
        </w:tc>
        <w:tc>
          <w:tcPr>
            <w:tcW w:w="1975" w:type="dxa"/>
            <w:tcBorders/>
          </w:tcPr>
          <w:p>
            <w:pPr>
              <w:pStyle w:val="style0"/>
              <w:rPr/>
            </w:pPr>
            <w:r>
              <w:t>$200,000</w:t>
            </w:r>
          </w:p>
        </w:tc>
        <w:tc>
          <w:tcPr>
            <w:tcW w:w="1975" w:type="dxa"/>
            <w:tcBorders/>
          </w:tcPr>
          <w:p>
            <w:pPr>
              <w:pStyle w:val="style0"/>
              <w:rPr/>
            </w:pPr>
            <w:r>
              <w:t>33%</w:t>
            </w:r>
          </w:p>
        </w:tc>
        <w:tc>
          <w:tcPr>
            <w:tcW w:w="1890" w:type="dxa"/>
            <w:tcBorders/>
          </w:tcPr>
          <w:p>
            <w:pPr>
              <w:pStyle w:val="style0"/>
              <w:rPr/>
            </w:pPr>
            <w:r>
              <w:t>32%</w:t>
            </w:r>
          </w:p>
        </w:tc>
      </w:tr>
      <w:tr>
        <w:tblPrEx/>
        <w:trPr/>
        <w:tc>
          <w:tcPr>
            <w:tcW w:w="1975" w:type="dxa"/>
            <w:tcBorders/>
          </w:tcPr>
          <w:p>
            <w:pPr>
              <w:pStyle w:val="style0"/>
              <w:rPr/>
            </w:pPr>
            <w:r>
              <w:t>$200,001</w:t>
            </w:r>
          </w:p>
        </w:tc>
        <w:tc>
          <w:tcPr>
            <w:tcW w:w="1975" w:type="dxa"/>
            <w:tcBorders/>
          </w:tcPr>
          <w:p>
            <w:pPr>
              <w:pStyle w:val="style0"/>
              <w:rPr/>
            </w:pPr>
            <w:r>
              <w:t>$500,000</w:t>
            </w:r>
          </w:p>
        </w:tc>
        <w:tc>
          <w:tcPr>
            <w:tcW w:w="1975" w:type="dxa"/>
            <w:tcBorders/>
          </w:tcPr>
          <w:p>
            <w:pPr>
              <w:pStyle w:val="style0"/>
              <w:rPr/>
            </w:pPr>
            <w:r>
              <w:t>35%</w:t>
            </w:r>
          </w:p>
        </w:tc>
        <w:tc>
          <w:tcPr>
            <w:tcW w:w="1890" w:type="dxa"/>
            <w:tcBorders/>
          </w:tcPr>
          <w:p>
            <w:pPr>
              <w:pStyle w:val="style0"/>
              <w:rPr/>
            </w:pPr>
            <w:r>
              <w:t>35%</w:t>
            </w:r>
          </w:p>
        </w:tc>
      </w:tr>
      <w:tr>
        <w:tblPrEx/>
        <w:trPr/>
        <w:tc>
          <w:tcPr>
            <w:tcW w:w="1975" w:type="dxa"/>
            <w:tcBorders/>
          </w:tcPr>
          <w:p>
            <w:pPr>
              <w:pStyle w:val="style0"/>
              <w:rPr/>
            </w:pPr>
            <w:r>
              <w:t>$500,001</w:t>
            </w:r>
          </w:p>
        </w:tc>
        <w:tc>
          <w:tcPr>
            <w:tcW w:w="1975" w:type="dxa"/>
            <w:tcBorders/>
          </w:tcPr>
          <w:p>
            <w:pPr>
              <w:pStyle w:val="style0"/>
              <w:rPr/>
            </w:pPr>
            <w:r>
              <w:t xml:space="preserve">And above </w:t>
            </w:r>
          </w:p>
        </w:tc>
        <w:tc>
          <w:tcPr>
            <w:tcW w:w="1975" w:type="dxa"/>
            <w:tcBorders/>
          </w:tcPr>
          <w:p>
            <w:pPr>
              <w:pStyle w:val="style0"/>
              <w:rPr/>
            </w:pPr>
            <w:r>
              <w:t>39.6%</w:t>
            </w:r>
          </w:p>
        </w:tc>
        <w:tc>
          <w:tcPr>
            <w:tcW w:w="1890" w:type="dxa"/>
            <w:tcBorders/>
          </w:tcPr>
          <w:p>
            <w:pPr>
              <w:pStyle w:val="style0"/>
              <w:rPr/>
            </w:pPr>
            <w:r>
              <w:t>37%</w:t>
            </w:r>
          </w:p>
        </w:tc>
      </w:tr>
    </w:tbl>
    <w:p>
      <w:pPr>
        <w:pStyle w:val="style0"/>
        <w:rPr/>
      </w:pPr>
    </w:p>
    <w:p>
      <w:pPr>
        <w:pStyle w:val="style0"/>
        <w:rPr/>
      </w:pPr>
      <w:r>
        <w:t>The bottom tax rate remained at 10%, while the highest tax rate declined from 39.6% to 37%. The new tax rates are set to expire in 2025, but Republican leaders in the congress signaled an extension at a later date. The top tax rates for single and joint filers for 2017 kick</w:t>
      </w:r>
      <w:r>
        <w:t>ed</w:t>
      </w:r>
      <w:r>
        <w:t xml:space="preserve"> in at $418,400 and $470,700, respectively, while for 2018, kick</w:t>
      </w:r>
      <w:r>
        <w:t>s</w:t>
      </w:r>
      <w:r>
        <w:t xml:space="preserve"> in at $</w:t>
      </w:r>
      <w:r>
        <w:t xml:space="preserve">500,000 </w:t>
      </w:r>
      <w:r>
        <w:t xml:space="preserve"> for</w:t>
      </w:r>
      <w:r>
        <w:t xml:space="preserve"> single filers </w:t>
      </w:r>
      <w:r>
        <w:t xml:space="preserve">and $600,000 </w:t>
      </w:r>
      <w:r>
        <w:t>for joint filers</w:t>
      </w:r>
      <w:r>
        <w:t xml:space="preserve">. The brackets </w:t>
      </w:r>
      <w:r>
        <w:t>are continually modified for inflation</w:t>
      </w:r>
      <w:r>
        <w:t xml:space="preserve">. The </w:t>
      </w:r>
      <w:r>
        <w:t>new law</w:t>
      </w:r>
      <w:r>
        <w:t xml:space="preserve"> stipulates that </w:t>
      </w:r>
      <w:r>
        <w:t>yearly</w:t>
      </w:r>
      <w:r>
        <w:t xml:space="preserve"> inflation </w:t>
      </w:r>
      <w:r>
        <w:t>modifications</w:t>
      </w:r>
      <w:r>
        <w:t xml:space="preserve"> be computed using the chained consumer price index(C-CPI) instead of the </w:t>
      </w:r>
      <w:r>
        <w:t>gener</w:t>
      </w:r>
      <w:r>
        <w:t>al consumer price index(CPI)</w:t>
      </w:r>
      <w:r>
        <w:rPr/>
        <w:fldChar w:fldCharType="begin"/>
      </w:r>
      <w:r>
        <w:instrText xml:space="preserve"> CITATION Smi18 \l 1033 </w:instrText>
      </w:r>
      <w:r>
        <w:rPr/>
        <w:fldChar w:fldCharType="separate"/>
      </w:r>
      <w:r>
        <w:rPr>
          <w:noProof/>
        </w:rPr>
        <w:t xml:space="preserve"> (Smith &amp; Howard Certified Public Accountants, 2018)</w:t>
      </w:r>
      <w:r>
        <w:rPr/>
        <w:fldChar w:fldCharType="end"/>
      </w:r>
      <w:r>
        <w:t xml:space="preserve">. </w:t>
      </w:r>
      <w:r>
        <w:t xml:space="preserve">The use of C-CPI may make taxpayers jump to </w:t>
      </w:r>
      <w:r>
        <w:t xml:space="preserve">the top tax groups, </w:t>
      </w:r>
      <w:r>
        <w:t xml:space="preserve">and make several </w:t>
      </w:r>
      <w:r>
        <w:t>tax classes</w:t>
      </w:r>
      <w:r>
        <w:t xml:space="preserve"> less significant </w:t>
      </w:r>
      <w:r>
        <w:t>as time goes by</w:t>
      </w:r>
      <w:r>
        <w:t>.</w:t>
      </w:r>
    </w:p>
    <w:p>
      <w:pPr>
        <w:pStyle w:val="style0"/>
        <w:rPr>
          <w:i/>
          <w:iCs/>
        </w:rPr>
      </w:pPr>
      <w:r>
        <w:rPr>
          <w:i/>
          <w:iCs/>
        </w:rPr>
        <w:t>Personal Exemptions and Standard Deduction</w:t>
      </w:r>
      <w:r>
        <w:rPr>
          <w:i/>
          <w:iCs/>
        </w:rPr>
        <w:t>s</w:t>
      </w:r>
      <w:r>
        <w:t xml:space="preserve">: </w:t>
      </w:r>
      <w:r>
        <w:t>For</w:t>
      </w:r>
      <w:r>
        <w:t xml:space="preserve"> 2017, taxpayers </w:t>
      </w:r>
      <w:r>
        <w:t>were</w:t>
      </w:r>
      <w:r>
        <w:t xml:space="preserve"> entitled to $4,050 exemption each for themselves, dependents, and spouses. Additionally, they c</w:t>
      </w:r>
      <w:r>
        <w:t>ould</w:t>
      </w:r>
      <w:r>
        <w:t xml:space="preserve"> either </w:t>
      </w:r>
      <w:r>
        <w:t>break down</w:t>
      </w:r>
      <w:r>
        <w:t xml:space="preserve"> deductions or claim a </w:t>
      </w:r>
      <w:r>
        <w:t>regular</w:t>
      </w:r>
      <w:r>
        <w:t xml:space="preserve"> deduction depending on their </w:t>
      </w:r>
      <w:r>
        <w:t>categor</w:t>
      </w:r>
      <w:r>
        <w:t>ies;</w:t>
      </w:r>
      <w:r>
        <w:t xml:space="preserve"> $6,350</w:t>
      </w:r>
      <w:r>
        <w:t xml:space="preserve"> for single filers and </w:t>
      </w:r>
      <w:r>
        <w:t>married couples</w:t>
      </w:r>
      <w:r>
        <w:t xml:space="preserve">, </w:t>
      </w:r>
      <w:r>
        <w:t xml:space="preserve">who </w:t>
      </w:r>
      <w:r>
        <w:t>are</w:t>
      </w:r>
      <w:r>
        <w:t xml:space="preserve"> </w:t>
      </w:r>
      <w:r>
        <w:t>declaring</w:t>
      </w:r>
      <w:r>
        <w:t xml:space="preserve"> separately, </w:t>
      </w:r>
      <w:r>
        <w:t xml:space="preserve">$9,350 </w:t>
      </w:r>
      <w:r>
        <w:t>for</w:t>
      </w:r>
      <w:r>
        <w:t xml:space="preserve"> </w:t>
      </w:r>
      <w:r>
        <w:t>heads</w:t>
      </w:r>
      <w:r>
        <w:t xml:space="preserve"> of households</w:t>
      </w:r>
      <w:r>
        <w:t xml:space="preserve">, </w:t>
      </w:r>
      <w:r>
        <w:t xml:space="preserve">$12,700 </w:t>
      </w:r>
      <w:r>
        <w:t>for</w:t>
      </w:r>
      <w:r>
        <w:t xml:space="preserve"> couples filling together</w:t>
      </w:r>
      <w:r>
        <w:t xml:space="preserve">. The </w:t>
      </w:r>
      <w:r>
        <w:t>Act</w:t>
      </w:r>
      <w:r>
        <w:t xml:space="preserve"> temporarily removes </w:t>
      </w:r>
      <w:r>
        <w:t>tax exclusions</w:t>
      </w:r>
      <w:r>
        <w:t xml:space="preserve"> </w:t>
      </w:r>
      <w:r>
        <w:t>but multiplies deductions by two.</w:t>
      </w:r>
      <w:r>
        <w:t xml:space="preserve"> </w:t>
      </w:r>
      <w:r>
        <w:t xml:space="preserve">The new deduction </w:t>
      </w:r>
      <w:r>
        <w:t xml:space="preserve">amounts </w:t>
      </w:r>
      <w:r>
        <w:t>are;</w:t>
      </w:r>
      <w:r>
        <w:t xml:space="preserve"> separate fillers</w:t>
      </w:r>
      <w:r>
        <w:t>,</w:t>
      </w:r>
      <w:r>
        <w:t xml:space="preserve"> $12,000, household heads, $18,000</w:t>
      </w:r>
      <w:r>
        <w:t>,</w:t>
      </w:r>
      <w:r>
        <w:t xml:space="preserve"> and $24,000 for joint filers. </w:t>
      </w:r>
    </w:p>
    <w:p>
      <w:pPr>
        <w:pStyle w:val="style0"/>
        <w:rPr/>
      </w:pPr>
      <w:r>
        <w:rPr>
          <w:i/>
          <w:iCs/>
        </w:rPr>
        <w:t>Family Tax Credits</w:t>
      </w:r>
      <w:r>
        <w:t>:</w:t>
      </w:r>
      <w:r>
        <w:t xml:space="preserve"> </w:t>
      </w:r>
      <w:r>
        <w:t xml:space="preserve">The </w:t>
      </w:r>
      <w:r>
        <w:t>Act</w:t>
      </w:r>
      <w:r>
        <w:t xml:space="preserve"> doubles the children</w:t>
      </w:r>
      <w:r>
        <w:t>'s</w:t>
      </w:r>
      <w:r>
        <w:t xml:space="preserve"> </w:t>
      </w:r>
      <w:r>
        <w:t>tax credit for those below 17 years at two thousand dollars</w:t>
      </w:r>
      <w:r>
        <w:t xml:space="preserve"> per child. If a person</w:t>
      </w:r>
      <w:r>
        <w:t>'</w:t>
      </w:r>
      <w:r>
        <w:t>s tax credit exceeds their tax obligations, the maximum refundable amount per child is $ 1,400</w:t>
      </w:r>
      <w:r>
        <w:t xml:space="preserve">. The Act makes child credit more available than in the past. </w:t>
      </w:r>
      <w:r>
        <w:t xml:space="preserve">For the new laws, tax credit ceases to be applicable if income exceeds $200,000 for single and individual fillers and $400,000 for couples. </w:t>
      </w:r>
      <w:r>
        <w:t xml:space="preserve">Initially, the threshold was $75,000 and $110,000 for sole and joint fillers, respectively. </w:t>
      </w:r>
    </w:p>
    <w:p>
      <w:pPr>
        <w:pStyle w:val="style0"/>
        <w:rPr>
          <w:b/>
          <w:bCs/>
        </w:rPr>
      </w:pPr>
      <w:r>
        <w:rPr>
          <w:b/>
          <w:bCs/>
        </w:rPr>
        <w:t xml:space="preserve">Impact of the Act on </w:t>
      </w:r>
      <w:r>
        <w:rPr>
          <w:b/>
          <w:bCs/>
        </w:rPr>
        <w:t>Businesses</w:t>
      </w:r>
      <w:r>
        <w:rPr>
          <w:b/>
          <w:bCs/>
        </w:rPr>
        <w:t xml:space="preserve"> Tax Provisions</w:t>
      </w:r>
    </w:p>
    <w:p>
      <w:pPr>
        <w:pStyle w:val="style0"/>
        <w:rPr/>
      </w:pPr>
      <w:r>
        <w:t xml:space="preserve">   </w:t>
      </w:r>
      <w:r>
        <w:t xml:space="preserve">      The 201</w:t>
      </w:r>
      <w:r>
        <w:t>7</w:t>
      </w:r>
      <w:r>
        <w:t xml:space="preserve"> Tax law</w:t>
      </w:r>
      <w:r>
        <w:t xml:space="preserve"> </w:t>
      </w:r>
      <w:r>
        <w:t>notably</w:t>
      </w:r>
      <w:r>
        <w:t xml:space="preserve"> aff</w:t>
      </w:r>
      <w:r>
        <w:t>ec</w:t>
      </w:r>
      <w:r>
        <w:t>t</w:t>
      </w:r>
      <w:r>
        <w:t>ed</w:t>
      </w:r>
      <w:r>
        <w:t xml:space="preserve"> the tax payable by businesses. Since the </w:t>
      </w:r>
      <w:r>
        <w:t>Act</w:t>
      </w:r>
      <w:r>
        <w:t xml:space="preserve"> intended</w:t>
      </w:r>
      <w:r>
        <w:t xml:space="preserve"> to stimulate the economy</w:t>
      </w:r>
      <w:r>
        <w:t>,</w:t>
      </w:r>
      <w:r>
        <w:t xml:space="preserve"> Corporations stand to benefit. The changes are as follows;</w:t>
      </w:r>
    </w:p>
    <w:p>
      <w:pPr>
        <w:pStyle w:val="style0"/>
        <w:rPr/>
      </w:pPr>
      <w:r>
        <w:rPr>
          <w:i/>
          <w:iCs/>
        </w:rPr>
        <w:t xml:space="preserve">Corporate </w:t>
      </w:r>
      <w:r>
        <w:t>tax</w:t>
      </w:r>
      <w:r>
        <w:t xml:space="preserve">: </w:t>
      </w:r>
      <w:r>
        <w:t>Corporate</w:t>
      </w:r>
      <w:r>
        <w:t xml:space="preserve"> tax decreased from the initial 35% to 21% under the </w:t>
      </w:r>
      <w:r>
        <w:t>Tax Act 2017</w:t>
      </w:r>
    </w:p>
    <w:p>
      <w:pPr>
        <w:pStyle w:val="style0"/>
        <w:rPr/>
      </w:pPr>
      <w:r>
        <w:rPr>
          <w:i/>
          <w:iCs/>
        </w:rPr>
        <w:t>Repeal of Corporate AMT</w:t>
      </w:r>
      <w:r>
        <w:t>: Initia</w:t>
      </w:r>
      <w:r>
        <w:t>l</w:t>
      </w:r>
      <w:r>
        <w:t xml:space="preserve">ly, the corporate </w:t>
      </w:r>
      <w:r>
        <w:t xml:space="preserve">(Alternative Minimum </w:t>
      </w:r>
      <w:r>
        <w:t>Tax)</w:t>
      </w:r>
      <w:r>
        <w:t>AMT</w:t>
      </w:r>
      <w:r>
        <w:t xml:space="preserve"> was 20%. The new law abolishes corporate AMT until 2025</w:t>
      </w:r>
    </w:p>
    <w:p>
      <w:pPr>
        <w:pStyle w:val="style0"/>
        <w:rPr/>
      </w:pPr>
      <w:r>
        <w:rPr>
          <w:i/>
          <w:iCs/>
        </w:rPr>
        <w:t>A d</w:t>
      </w:r>
      <w:r>
        <w:rPr>
          <w:i/>
          <w:iCs/>
        </w:rPr>
        <w:t>ecrease in Corp</w:t>
      </w:r>
      <w:r>
        <w:rPr>
          <w:i/>
          <w:iCs/>
        </w:rPr>
        <w:t>o</w:t>
      </w:r>
      <w:r>
        <w:rPr>
          <w:i/>
          <w:iCs/>
        </w:rPr>
        <w:t xml:space="preserve">rate </w:t>
      </w:r>
      <w:r>
        <w:rPr>
          <w:i/>
          <w:iCs/>
        </w:rPr>
        <w:t>D</w:t>
      </w:r>
      <w:r>
        <w:rPr>
          <w:i/>
          <w:iCs/>
        </w:rPr>
        <w:t xml:space="preserve">ividends </w:t>
      </w:r>
      <w:r>
        <w:rPr>
          <w:i/>
          <w:iCs/>
        </w:rPr>
        <w:t>D</w:t>
      </w:r>
      <w:r>
        <w:rPr>
          <w:i/>
          <w:iCs/>
        </w:rPr>
        <w:t>eduction</w:t>
      </w:r>
      <w:r>
        <w:t xml:space="preserve">: Under the </w:t>
      </w:r>
      <w:r>
        <w:t>new law</w:t>
      </w:r>
      <w:r>
        <w:t>, corporates who receive dividends from other companies</w:t>
      </w:r>
      <w:r>
        <w:t xml:space="preserve"> </w:t>
      </w:r>
      <w:r>
        <w:t>are allowed to reduce those dividends to get</w:t>
      </w:r>
      <w:r>
        <w:t xml:space="preserve"> their</w:t>
      </w:r>
      <w:r>
        <w:t xml:space="preserve"> taxable income.</w:t>
      </w:r>
    </w:p>
    <w:p>
      <w:pPr>
        <w:pStyle w:val="style0"/>
        <w:rPr/>
      </w:pPr>
      <w:r>
        <w:rPr>
          <w:i/>
          <w:iCs/>
        </w:rPr>
        <w:t>Pass-through businesses to enjoy new deductions</w:t>
      </w:r>
      <w:r>
        <w:t xml:space="preserve">: Before </w:t>
      </w:r>
      <w:r>
        <w:t>law</w:t>
      </w:r>
      <w:r>
        <w:t xml:space="preserve">, pass-through </w:t>
      </w:r>
      <w:r>
        <w:t>corporates</w:t>
      </w:r>
      <w:r>
        <w:t xml:space="preserve"> </w:t>
      </w:r>
      <w:r>
        <w:t>were</w:t>
      </w:r>
      <w:r>
        <w:t xml:space="preserve"> taxed </w:t>
      </w:r>
      <w:r>
        <w:t>as per</w:t>
      </w:r>
      <w:r>
        <w:t xml:space="preserve"> the owner</w:t>
      </w:r>
      <w:r>
        <w:t>'</w:t>
      </w:r>
      <w:r>
        <w:t xml:space="preserve">s standard rate. The new law establishes deductions for pass-through businesses based on the Qualified Business </w:t>
      </w:r>
      <w:r>
        <w:t>Income(</w:t>
      </w:r>
      <w:r>
        <w:t>QBI) of their noncorporate owners.</w:t>
      </w:r>
    </w:p>
    <w:p>
      <w:pPr>
        <w:pStyle w:val="style0"/>
        <w:rPr/>
      </w:pPr>
      <w:r>
        <w:rPr>
          <w:i/>
          <w:iCs/>
        </w:rPr>
        <w:t>Business Interest Deductions</w:t>
      </w:r>
      <w:r>
        <w:t xml:space="preserve">: Before the </w:t>
      </w:r>
      <w:r>
        <w:t>Act</w:t>
      </w:r>
      <w:r>
        <w:t xml:space="preserve">, interests paid or accrued by companies were deductible. Under </w:t>
      </w:r>
      <w:r>
        <w:t>the new law</w:t>
      </w:r>
      <w:r>
        <w:t xml:space="preserve">, a business is not allowed to deduct accrued or paid interest. </w:t>
      </w:r>
    </w:p>
    <w:p>
      <w:pPr>
        <w:pStyle w:val="style0"/>
        <w:rPr/>
      </w:pPr>
      <w:r>
        <w:rPr>
          <w:i/>
          <w:iCs/>
        </w:rPr>
        <w:t>Bonus Depreciation</w:t>
      </w:r>
      <w:r>
        <w:t xml:space="preserve">: </w:t>
      </w:r>
      <w:r>
        <w:t>The Tax Act 2017</w:t>
      </w:r>
      <w:r>
        <w:t xml:space="preserve"> significantly improves bonus appreciation for businesses. Before the law, companies could deduct a 50% first-year bonus depreciation. Under </w:t>
      </w:r>
      <w:r>
        <w:t>Act</w:t>
      </w:r>
      <w:r>
        <w:t xml:space="preserve">, the first-year appreciation bonus deduction is 100%. Besides, </w:t>
      </w:r>
      <w:r>
        <w:t>it</w:t>
      </w:r>
      <w:r>
        <w:t xml:space="preserve"> allows 100% depreciation bonus deduction for new theatrical productions, films, televisions</w:t>
      </w:r>
      <w:r>
        <w:t>,</w:t>
      </w:r>
      <w:r>
        <w:t xml:space="preserve"> which began service as </w:t>
      </w:r>
      <w:r>
        <w:t>of</w:t>
      </w:r>
      <w:r>
        <w:t xml:space="preserve"> Septem</w:t>
      </w:r>
      <w:r>
        <w:t>b</w:t>
      </w:r>
      <w:r>
        <w:t xml:space="preserve">er 2017. </w:t>
      </w:r>
    </w:p>
    <w:p>
      <w:pPr>
        <w:pStyle w:val="style0"/>
        <w:rPr/>
      </w:pPr>
      <w:r>
        <w:rPr>
          <w:i/>
          <w:iCs/>
        </w:rPr>
        <w:t>Deductions for Business Passenger Vehicles</w:t>
      </w:r>
      <w:r>
        <w:t xml:space="preserve">: Passenger vehicles that began operating in 2018 enjoy annual depreciation deductions </w:t>
      </w:r>
      <w:r>
        <w:t>of</w:t>
      </w:r>
      <w:r>
        <w:t>; $10,000, $16,000, $9,600</w:t>
      </w:r>
      <w:r>
        <w:t>,</w:t>
      </w:r>
      <w:r>
        <w:t xml:space="preserve"> and $5,760 for year 1,2,3 and four respectively. The law assumes that vehicles fully depreciate at the end of the fourth year.</w:t>
      </w:r>
    </w:p>
    <w:p>
      <w:pPr>
        <w:pStyle w:val="style0"/>
        <w:rPr/>
      </w:pPr>
      <w:r>
        <w:rPr>
          <w:i/>
          <w:iCs/>
        </w:rPr>
        <w:t>Entertainment, Meals</w:t>
      </w:r>
      <w:r>
        <w:rPr>
          <w:i/>
          <w:iCs/>
        </w:rPr>
        <w:t>,</w:t>
      </w:r>
      <w:r>
        <w:rPr>
          <w:i/>
          <w:iCs/>
        </w:rPr>
        <w:t xml:space="preserve"> and Transporta</w:t>
      </w:r>
      <w:r>
        <w:rPr>
          <w:i/>
          <w:iCs/>
        </w:rPr>
        <w:t>t</w:t>
      </w:r>
      <w:r>
        <w:rPr>
          <w:i/>
          <w:iCs/>
        </w:rPr>
        <w:t>ion</w:t>
      </w:r>
      <w:r>
        <w:t xml:space="preserve">: </w:t>
      </w:r>
      <w:r>
        <w:t>Before</w:t>
      </w:r>
      <w:r>
        <w:t xml:space="preserve"> </w:t>
      </w:r>
      <w:r>
        <w:t>Act</w:t>
      </w:r>
      <w:r>
        <w:t xml:space="preserve">, taxpayers were allowed to deduct 50% of business-related expenses. Under </w:t>
      </w:r>
      <w:r>
        <w:t>the new law</w:t>
      </w:r>
      <w:r>
        <w:t>, amounts paid or accrued since January 2018</w:t>
      </w:r>
      <w:r>
        <w:t xml:space="preserve"> concerning business entertainment</w:t>
      </w:r>
      <w:r>
        <w:t xml:space="preserve"> </w:t>
      </w:r>
      <w:r>
        <w:t xml:space="preserve">or commutation </w:t>
      </w:r>
      <w:r>
        <w:t xml:space="preserve">are not deductible. </w:t>
      </w:r>
      <w:r>
        <w:t xml:space="preserve">However, the </w:t>
      </w:r>
      <w:r>
        <w:t>Act</w:t>
      </w:r>
      <w:r>
        <w:t xml:space="preserve"> maintains a 50% deduction for business-related meals.</w:t>
      </w:r>
    </w:p>
    <w:p>
      <w:pPr>
        <w:pStyle w:val="style0"/>
        <w:jc w:val="center"/>
        <w:rPr/>
      </w:pPr>
      <w:r>
        <w:rPr>
          <w:b/>
          <w:bCs/>
        </w:rPr>
        <w:t>Likely Impact of the Act</w:t>
      </w:r>
      <w:r>
        <w:rPr>
          <w:b/>
          <w:bCs/>
        </w:rPr>
        <w:t xml:space="preserve"> on GDP</w:t>
      </w:r>
      <w:r>
        <w:rPr>
          <w:b/>
          <w:bCs/>
        </w:rPr>
        <w:t xml:space="preserve"> and The Government's Budget</w:t>
      </w:r>
    </w:p>
    <w:p>
      <w:pPr>
        <w:pStyle w:val="style0"/>
        <w:rPr/>
      </w:pPr>
      <w:r>
        <w:t xml:space="preserve">     Proponents of </w:t>
      </w:r>
      <w:r>
        <w:t>the law</w:t>
      </w:r>
      <w:r>
        <w:t xml:space="preserve"> believed that the new tax measures would either increase revenue or, at worst, pay for itself while inspiring economic growth.</w:t>
      </w:r>
      <w:r>
        <w:t xml:space="preserve"> They</w:t>
      </w:r>
      <w:r>
        <w:t xml:space="preserve"> claimed that it would accelerate economic growth through a combination of higher investments, increased wages and hours of work, and improved company profits</w:t>
      </w:r>
      <w:r>
        <w:rPr/>
        <w:fldChar w:fldCharType="begin"/>
      </w:r>
      <w:r>
        <w:instrText xml:space="preserve"> CITATION Gal20 \l 1033 </w:instrText>
      </w:r>
      <w:r>
        <w:rPr/>
        <w:fldChar w:fldCharType="separate"/>
      </w:r>
      <w:r>
        <w:rPr>
          <w:noProof/>
        </w:rPr>
        <w:t xml:space="preserve"> (Gale, 2020)</w:t>
      </w:r>
      <w:r>
        <w:rPr/>
        <w:fldChar w:fldCharType="end"/>
      </w:r>
      <w:r>
        <w:t xml:space="preserve">. </w:t>
      </w:r>
    </w:p>
    <w:p>
      <w:pPr>
        <w:pStyle w:val="style0"/>
        <w:rPr/>
      </w:pPr>
      <w:r>
        <w:t>Actual data shows that the government collected lower revenue in 2018. The C</w:t>
      </w:r>
      <w:r>
        <w:t xml:space="preserve">ongressional Budget </w:t>
      </w:r>
      <w:r>
        <w:t>Office(</w:t>
      </w:r>
      <w:r>
        <w:t>CBO)</w:t>
      </w:r>
      <w:r>
        <w:t xml:space="preserve"> did not realize its 2017 projection before the Bill was signed</w:t>
      </w:r>
      <w:r>
        <w:rPr/>
        <w:fldChar w:fldCharType="begin"/>
      </w:r>
      <w:r>
        <w:instrText xml:space="preserve"> CITATION Gal18 \l 1033 </w:instrText>
      </w:r>
      <w:r>
        <w:rPr/>
        <w:fldChar w:fldCharType="separate"/>
      </w:r>
      <w:r>
        <w:rPr>
          <w:noProof/>
        </w:rPr>
        <w:t xml:space="preserve"> (Gale , Gelfond, Krupkin, &amp; Mazur, 2018)</w:t>
      </w:r>
      <w:r>
        <w:rPr/>
        <w:fldChar w:fldCharType="end"/>
      </w:r>
      <w:r>
        <w:t xml:space="preserve">. Given that the global economy grew in 2018 and the absence of any other policy that would have initiated significant revenue losses, the </w:t>
      </w:r>
      <w:r>
        <w:t>new law</w:t>
      </w:r>
      <w:r>
        <w:t xml:space="preserve"> le</w:t>
      </w:r>
      <w:r>
        <w:t>ads</w:t>
      </w:r>
      <w:r>
        <w:t xml:space="preserve"> to a major revenue loss hence </w:t>
      </w:r>
      <w:r>
        <w:t xml:space="preserve">a </w:t>
      </w:r>
      <w:r>
        <w:t>decline in GDP and the government</w:t>
      </w:r>
      <w:r>
        <w:t>'</w:t>
      </w:r>
      <w:r>
        <w:t>s budget.</w:t>
      </w:r>
    </w:p>
    <w:p>
      <w:pPr>
        <w:pStyle w:val="style0"/>
        <w:jc w:val="center"/>
        <w:rPr>
          <w:b/>
          <w:bCs/>
        </w:rPr>
      </w:pPr>
      <w:r>
        <w:rPr>
          <w:b/>
          <w:bCs/>
        </w:rPr>
        <w:t>Effect of the Law on a Personal Level</w:t>
      </w:r>
    </w:p>
    <w:p>
      <w:pPr>
        <w:pStyle w:val="style0"/>
        <w:rPr/>
      </w:pPr>
      <w:r>
        <w:t xml:space="preserve">    </w:t>
      </w:r>
      <w:r>
        <w:t xml:space="preserve">   </w:t>
      </w:r>
      <w:r>
        <w:t xml:space="preserve">The </w:t>
      </w:r>
      <w:r>
        <w:t>Tax Act</w:t>
      </w:r>
      <w:r>
        <w:t xml:space="preserve"> has increased disposable income for working citizens by lowering tax rates for specific tax brackets. As a student and being a non-business owner, I have</w:t>
      </w:r>
      <w:r>
        <w:t xml:space="preserve"> not</w:t>
      </w:r>
      <w:r>
        <w:t xml:space="preserve"> personally felt the </w:t>
      </w:r>
      <w:r>
        <w:t xml:space="preserve">impact of the law in terms of earnings. However, due to reduced corporate taxes, more businesses have developed, and I have a broad choice for goods and services in the market. </w:t>
      </w:r>
      <w:r>
        <w:t>Consequently, competition has lowered the price of some of the commodities that I purchase regularly.</w:t>
      </w:r>
      <w:r>
        <w:t xml:space="preserve"> Due to the reduction in federal corporate taxes from 35% to 21%, Overseas companies that previous</w:t>
      </w:r>
      <w:r>
        <w:t>ly</w:t>
      </w:r>
      <w:r>
        <w:t xml:space="preserve"> avoided investing in the US are now opening up operations in the country. The influx of more companies increases my chances of </w:t>
      </w:r>
      <w:r>
        <w:t>getting  a</w:t>
      </w:r>
      <w:r>
        <w:t xml:space="preserve"> </w:t>
      </w:r>
      <w:r>
        <w:t xml:space="preserve">better </w:t>
      </w:r>
      <w:r>
        <w:t xml:space="preserve">job. </w:t>
      </w:r>
      <w:r>
        <w:t xml:space="preserve">Due to abolishment of the Affordable Care Act, the Tax law 2018 has deprived me of the health benefits I </w:t>
      </w:r>
      <w:r>
        <w:t xml:space="preserve">previously </w:t>
      </w:r>
      <w:r>
        <w:t xml:space="preserve">enjoyed. Since the enactment of the law, </w:t>
      </w:r>
      <w:r>
        <w:t xml:space="preserve">I have incurred health care premiums which did not exist I the past. </w:t>
      </w:r>
    </w:p>
    <w:p>
      <w:pPr>
        <w:pStyle w:val="style0"/>
        <w:jc w:val="center"/>
        <w:rPr>
          <w:b/>
          <w:bCs/>
        </w:rPr>
      </w:pPr>
      <w:r>
        <w:rPr>
          <w:b/>
          <w:bCs/>
        </w:rPr>
        <w:t>Benefits of the New Law</w:t>
      </w:r>
      <w:r>
        <w:rPr>
          <w:b/>
          <w:bCs/>
        </w:rPr>
        <w:t xml:space="preserve"> on Various Groups</w:t>
      </w:r>
    </w:p>
    <w:p>
      <w:pPr>
        <w:pStyle w:val="style0"/>
        <w:rPr/>
      </w:pPr>
      <w:r>
        <w:rPr>
          <w:b/>
          <w:bCs/>
        </w:rPr>
        <w:t xml:space="preserve">     </w:t>
      </w:r>
      <w:r>
        <w:rPr>
          <w:b/>
          <w:bCs/>
        </w:rPr>
        <w:t xml:space="preserve">      </w:t>
      </w:r>
      <w:r>
        <w:t xml:space="preserve">Out of the new law, some people </w:t>
      </w:r>
      <w:r>
        <w:t xml:space="preserve">have </w:t>
      </w:r>
      <w:r>
        <w:t>benefit</w:t>
      </w:r>
      <w:r>
        <w:t>ted</w:t>
      </w:r>
      <w:r>
        <w:t xml:space="preserve"> while others </w:t>
      </w:r>
      <w:r>
        <w:t>have</w:t>
      </w:r>
      <w:r>
        <w:t xml:space="preserve"> not.</w:t>
      </w:r>
      <w:r>
        <w:rPr>
          <w:b/>
          <w:bCs/>
        </w:rPr>
        <w:t xml:space="preserve"> </w:t>
      </w:r>
      <w:r>
        <w:t>The Tax Act maintained the tax rate for the lowest tax bracket at 10% but reduced that of the top income earners from 39.6% to 37%. In that regard, the new law plays a regressive role that broadens income inequality in the country. Due to the tax reduction, top earners receive more disposable income while the income for the low group remains unchanged.</w:t>
      </w:r>
      <w:r>
        <w:t xml:space="preserve"> </w:t>
      </w:r>
      <w:r>
        <w:t xml:space="preserve">Experts project that if the legislation continues for the ten years, it will cost around $1.5 </w:t>
      </w:r>
      <w:r>
        <w:t>trilion</w:t>
      </w:r>
      <w:r>
        <w:t xml:space="preserve"> and much of its gains </w:t>
      </w:r>
      <w:r>
        <w:t>go to</w:t>
      </w:r>
      <w:r>
        <w:t xml:space="preserve"> the already </w:t>
      </w:r>
      <w:r>
        <w:t>weathy</w:t>
      </w:r>
      <w:r>
        <w:t xml:space="preserve"> individuals and corporations</w:t>
      </w:r>
      <w:r>
        <w:rPr/>
        <w:fldChar w:fldCharType="begin"/>
      </w:r>
      <w:r>
        <w:instrText xml:space="preserve"> CITATION Fri19 \l 1033 </w:instrText>
      </w:r>
      <w:r>
        <w:rPr/>
        <w:fldChar w:fldCharType="separate"/>
      </w:r>
      <w:r>
        <w:rPr>
          <w:noProof/>
        </w:rPr>
        <w:t xml:space="preserve"> (Frintzilas, 2019)</w:t>
      </w:r>
      <w:r>
        <w:rPr/>
        <w:fldChar w:fldCharType="end"/>
      </w:r>
      <w:r>
        <w:t xml:space="preserve">. </w:t>
      </w:r>
      <w:r>
        <w:t xml:space="preserve"> </w:t>
      </w:r>
      <w:r>
        <w:t xml:space="preserve">Critiques of the law claim that extending </w:t>
      </w:r>
      <w:r>
        <w:t>massiv</w:t>
      </w:r>
      <w:r>
        <w:t>e, deficit-financed, regressive tax cuts, in an economy experiencing high employment increases inequality</w:t>
      </w:r>
      <w:r>
        <w:t xml:space="preserve"> and </w:t>
      </w:r>
      <w:r>
        <w:t xml:space="preserve">the national debt. The tax takes more from the low and middle class to support the lowly-taxed income of </w:t>
      </w:r>
      <w:r>
        <w:t>more top</w:t>
      </w:r>
      <w:r>
        <w:t xml:space="preserve"> earners. </w:t>
      </w:r>
      <w:r>
        <w:t>Therefore, the law favors top income earners over low earners.</w:t>
      </w:r>
    </w:p>
    <w:p>
      <w:pPr>
        <w:pStyle w:val="style0"/>
        <w:jc w:val="center"/>
        <w:rPr>
          <w:b/>
          <w:bCs/>
        </w:rPr>
      </w:pPr>
      <w:r>
        <w:rPr>
          <w:b/>
          <w:bCs/>
        </w:rPr>
        <w:t>Changes I Agree or Disagree With</w:t>
      </w:r>
    </w:p>
    <w:p>
      <w:pPr>
        <w:pStyle w:val="style0"/>
        <w:rPr/>
      </w:pPr>
      <w:r>
        <w:t xml:space="preserve">          </w:t>
      </w:r>
      <w:r>
        <w:t xml:space="preserve">The reduction in corporate taxes will attract more investment in the country because of the lowered business obligation. An increase in investment will create more job chances for the </w:t>
      </w:r>
      <w:r>
        <w:t>unemployed. Therefore, I support the aspect of the law that is likely to spur employment in the economy.</w:t>
      </w:r>
      <w:r>
        <w:t xml:space="preserve"> Another aspect of the law that I agree with is that it puts the United States in a better competitive position with other major countries such as Germany, Japan, France, and the United Kingdom. The Act decrease</w:t>
      </w:r>
      <w:r>
        <w:t>d</w:t>
      </w:r>
      <w:r>
        <w:t xml:space="preserve"> the Federal business tax from 35% to 21%. The adjustments </w:t>
      </w:r>
      <w:r>
        <w:t>drops</w:t>
      </w:r>
      <w:r>
        <w:t xml:space="preserve"> the combined rates from 38.9% to 21%. The lowered corporate taxes </w:t>
      </w:r>
      <w:r>
        <w:t>attracts</w:t>
      </w:r>
      <w:r>
        <w:t xml:space="preserve"> oversea businesses</w:t>
      </w:r>
      <w:r>
        <w:t xml:space="preserve"> to direct their investments and operations towards the US</w:t>
      </w:r>
      <w:r>
        <w:t xml:space="preserve">. Companies which initially perceived the </w:t>
      </w:r>
      <w:r>
        <w:t>the</w:t>
      </w:r>
      <w:r>
        <w:t xml:space="preserve"> country </w:t>
      </w:r>
      <w:r>
        <w:t>business unfriendly are</w:t>
      </w:r>
      <w:r>
        <w:t xml:space="preserve"> now ready to set up </w:t>
      </w:r>
      <w:r>
        <w:t>branches</w:t>
      </w:r>
      <w:r>
        <w:t xml:space="preserve"> in the country. More businesses </w:t>
      </w:r>
      <w:r>
        <w:t>means</w:t>
      </w:r>
      <w:r>
        <w:t xml:space="preserve"> increase in productivity, output and wages in the long term.</w:t>
      </w:r>
    </w:p>
    <w:p>
      <w:pPr>
        <w:pStyle w:val="style0"/>
        <w:rPr/>
      </w:pPr>
      <w:r>
        <w:t xml:space="preserve">          </w:t>
      </w:r>
      <w:r>
        <w:t xml:space="preserve">The </w:t>
      </w:r>
      <w:r>
        <w:t>Act's</w:t>
      </w:r>
      <w:r>
        <w:t xml:space="preserve"> tax rates are regressive as opposed to progressive. Regressive taxes tend to favor high-income earners without considering low-income earners. Also, the government may have to borrow from priority sectors such as health and education to finance the increased wages</w:t>
      </w:r>
      <w:r>
        <w:t xml:space="preserve"> for top earners. Therefore, I cannot agree with the aspect of the law that increases inequality.</w:t>
      </w:r>
    </w:p>
    <w:p>
      <w:pPr>
        <w:pStyle w:val="style0"/>
        <w:jc w:val="center"/>
        <w:rPr>
          <w:b/>
          <w:bCs/>
        </w:rPr>
      </w:pPr>
      <w:r>
        <w:rPr>
          <w:b/>
          <w:bCs/>
        </w:rPr>
        <w:t>Changes I would make for the New Law</w:t>
      </w:r>
    </w:p>
    <w:p>
      <w:pPr>
        <w:pStyle w:val="style0"/>
        <w:rPr/>
      </w:pPr>
      <w:r>
        <w:t xml:space="preserve">       </w:t>
      </w:r>
      <w:r>
        <w:t>If I were in power, I would amend the law to make individual taxes more progressive. I would tax less from low-income earners more of high earners.</w:t>
      </w:r>
      <w:r>
        <w:t xml:space="preserve"> Also, I would introduce a tax holiday for start-up small scale businesses to encourage more people to invest more and enhance self-employment. The tax holiday will help the law in achieving its goal of reducing unemployment in the country.</w:t>
      </w:r>
      <w:r>
        <w:t xml:space="preserve"> The tax law repealed the Obamacare Act that helped many citizens in the United States to access medication easily. Therefore, it led to an increase in the cost of </w:t>
      </w:r>
      <w:r>
        <w:t>heath</w:t>
      </w:r>
      <w:r>
        <w:t xml:space="preserve"> care premiums. The overall effect was a reduction in insurance cover in the country. Since the health of the nation is paramount, I would amend the law to reinstate the affordable care Act. </w:t>
      </w:r>
    </w:p>
    <w:p>
      <w:pPr>
        <w:pStyle w:val="style0"/>
        <w:jc w:val="center"/>
        <w:rPr>
          <w:b/>
          <w:bCs/>
        </w:rPr>
      </w:pPr>
      <w:r>
        <w:rPr>
          <w:b/>
          <w:bCs/>
        </w:rPr>
        <w:t>Conclusion</w:t>
      </w:r>
    </w:p>
    <w:p>
      <w:pPr>
        <w:pStyle w:val="style0"/>
        <w:rPr/>
      </w:pPr>
      <w:r>
        <w:t xml:space="preserve"> </w:t>
      </w:r>
      <w:r>
        <w:t xml:space="preserve">            </w:t>
      </w:r>
      <w:r>
        <w:t xml:space="preserve">The new law makes </w:t>
      </w:r>
      <w:r>
        <w:t>significant</w:t>
      </w:r>
      <w:r>
        <w:t xml:space="preserve"> changes to individual and corporate taxes. It makes adjustments to international rules that reduce the incentive of companies to keep their profits in oversea bank accounts. The Act will induce economic growth in the coming years through enhanced investments. The law will have minimal effect on the G</w:t>
      </w:r>
      <w:r>
        <w:t xml:space="preserve">ross Net </w:t>
      </w:r>
      <w:r>
        <w:t>Product(</w:t>
      </w:r>
      <w:r>
        <w:t>GNP)</w:t>
      </w:r>
      <w:r>
        <w:t xml:space="preserve"> because it will drive net </w:t>
      </w:r>
      <w:r>
        <w:t>cash flows</w:t>
      </w:r>
      <w:r>
        <w:t xml:space="preserve"> </w:t>
      </w:r>
      <w:r>
        <w:t>into the country</w:t>
      </w:r>
      <w:r>
        <w:t>,</w:t>
      </w:r>
      <w:r>
        <w:t xml:space="preserve"> </w:t>
      </w:r>
      <w:r>
        <w:t xml:space="preserve">which are </w:t>
      </w:r>
      <w:r>
        <w:t>repa</w:t>
      </w:r>
      <w:r>
        <w:t>yable at a later date</w:t>
      </w:r>
      <w:r>
        <w:t>.  The short-term impact of the law has been a reduction in revenues and GDP. Projections show that T</w:t>
      </w:r>
      <w:r>
        <w:t>ax Act 2017</w:t>
      </w:r>
      <w:r>
        <w:t xml:space="preserve"> will end up reducing Federal incomes more than if </w:t>
      </w:r>
      <w:r>
        <w:t>they</w:t>
      </w:r>
      <w:r>
        <w:t xml:space="preserve"> were not enacted. </w:t>
      </w:r>
      <w:r>
        <w:t>T</w:t>
      </w:r>
      <w:r>
        <w:t>he new law</w:t>
      </w:r>
      <w:r>
        <w:t xml:space="preserve"> simplifies tax obligations in some cases but makes other instances hard to comply</w:t>
      </w:r>
      <w:r>
        <w:t xml:space="preserve"> with</w:t>
      </w:r>
      <w:r>
        <w:t xml:space="preserve">. The future effects of </w:t>
      </w:r>
      <w:r>
        <w:t>the Tax Act 2017</w:t>
      </w:r>
      <w:r>
        <w:t xml:space="preserve"> rely on the un</w:t>
      </w:r>
      <w:r>
        <w:t>predictable reactions</w:t>
      </w:r>
      <w:r>
        <w:t xml:space="preserve"> from other </w:t>
      </w:r>
      <w:r>
        <w:t>nations</w:t>
      </w:r>
      <w:r>
        <w:t>, the Congress, The Federal Reserve Board, among other players.</w:t>
      </w:r>
    </w:p>
    <w:p>
      <w:pPr>
        <w:pStyle w:val="style0"/>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References</w:t>
      </w:r>
    </w:p>
    <w:p>
      <w:pPr>
        <w:pStyle w:val="style265"/>
        <w:ind w:left="720" w:hanging="720"/>
        <w:rPr>
          <w:noProof/>
          <w:szCs w:val="24"/>
        </w:rPr>
      </w:pPr>
      <w:r>
        <w:rPr/>
        <w:fldChar w:fldCharType="begin"/>
      </w:r>
      <w:r>
        <w:instrText xml:space="preserve"> BIBLIOGRAPHY  \l 1033 </w:instrText>
      </w:r>
      <w:r>
        <w:rPr/>
        <w:fldChar w:fldCharType="separate"/>
      </w:r>
      <w:r>
        <w:rPr>
          <w:noProof/>
        </w:rPr>
        <w:t xml:space="preserve">Frintzilas, P. (2019, 12 19). </w:t>
      </w:r>
      <w:r>
        <w:rPr>
          <w:i/>
          <w:iCs/>
          <w:noProof/>
        </w:rPr>
        <w:t>Corporate and Financial Law.</w:t>
      </w:r>
      <w:r>
        <w:rPr>
          <w:noProof/>
        </w:rPr>
        <w:t xml:space="preserve"> Retrieved from https://news.law.fordham.edu/: https://news.law.fordham.edu/jcfl/2019/12/19/economic-effects-of-the-tax-cuts-and-jobs-act/</w:t>
      </w:r>
    </w:p>
    <w:p>
      <w:pPr>
        <w:pStyle w:val="style265"/>
        <w:ind w:left="720" w:hanging="720"/>
        <w:rPr>
          <w:noProof/>
        </w:rPr>
      </w:pPr>
      <w:r>
        <w:rPr>
          <w:noProof/>
        </w:rPr>
        <w:t xml:space="preserve">Gale , G. W., Gelfond, H., Krupkin, H., &amp; Mazur, J. M. (2018, 06 13). </w:t>
      </w:r>
      <w:r>
        <w:rPr>
          <w:i/>
          <w:iCs/>
          <w:noProof/>
        </w:rPr>
        <w:t>Tax Policy Center.</w:t>
      </w:r>
      <w:r>
        <w:rPr>
          <w:noProof/>
        </w:rPr>
        <w:t xml:space="preserve"> Retrieved from https://www.brookings.edu/: https://www.brookings.edu/wp-content/uploads/2018/06/ES_20180608_tcja_summary_paper_final.pdf</w:t>
      </w:r>
    </w:p>
    <w:p>
      <w:pPr>
        <w:pStyle w:val="style265"/>
        <w:ind w:left="720" w:hanging="720"/>
        <w:rPr>
          <w:noProof/>
        </w:rPr>
      </w:pPr>
      <w:r>
        <w:rPr>
          <w:noProof/>
        </w:rPr>
        <w:t xml:space="preserve">Gale, G. W. (2020, 02 14). </w:t>
      </w:r>
      <w:r>
        <w:rPr>
          <w:i/>
          <w:iCs/>
          <w:noProof/>
        </w:rPr>
        <w:t>Policy 2020 Brookings.</w:t>
      </w:r>
      <w:r>
        <w:rPr>
          <w:noProof/>
        </w:rPr>
        <w:t xml:space="preserve"> Retrieved from https://www.brookings.edu/policy2020: https://www.brookings.edu/policy2020/votervital/did-the-2017-tax-cut-the-tax-cuts-and-jobs-act-pay-for-itself/</w:t>
      </w:r>
    </w:p>
    <w:p>
      <w:pPr>
        <w:pStyle w:val="style265"/>
        <w:ind w:left="720" w:hanging="720"/>
        <w:rPr>
          <w:noProof/>
        </w:rPr>
      </w:pPr>
      <w:r>
        <w:rPr>
          <w:noProof/>
        </w:rPr>
        <w:t xml:space="preserve">Smith &amp; Howard Certified Public Accountants. (2018, 03). </w:t>
      </w:r>
      <w:r>
        <w:rPr>
          <w:i/>
          <w:iCs/>
          <w:noProof/>
        </w:rPr>
        <w:t>2018 Tax Cuts &amp; Jobs Act Overview.</w:t>
      </w:r>
      <w:r>
        <w:rPr>
          <w:noProof/>
        </w:rPr>
        <w:t xml:space="preserve"> Retrieved from https://www.smith-howard.com/: https://www.smith-howard.com/2018-tax-cuts-jobs-act-overview/</w:t>
      </w:r>
    </w:p>
    <w:p>
      <w:pPr>
        <w:pStyle w:val="style0"/>
        <w:rPr/>
      </w:pPr>
      <w:r>
        <w:rPr/>
        <w:fldChar w:fldCharType="end"/>
      </w:r>
    </w:p>
    <w:p>
      <w:pPr>
        <w:pStyle w:val="style0"/>
        <w:rPr>
          <w:b/>
          <w:bCs/>
        </w:rPr>
      </w:pPr>
    </w:p>
    <w:p>
      <w:pPr>
        <w:pStyle w:val="style0"/>
        <w:rPr/>
      </w:pPr>
    </w:p>
    <w:p>
      <w:pPr>
        <w:pStyle w:val="style0"/>
        <w:rPr/>
      </w:pPr>
    </w:p>
    <w:p>
      <w:pPr>
        <w:pStyle w:val="style0"/>
        <w:rPr>
          <w:i/>
          <w:iCs/>
        </w:rPr>
      </w:pPr>
      <w:r>
        <w:t xml:space="preserve"> </w:t>
      </w:r>
    </w:p>
    <w:sectPr>
      <w:headerReference w:type="even" r:id="rId2"/>
      <w:headerReference w:type="default" r:id="rId3"/>
      <w:footerReference w:type="even" r:id="rId4"/>
      <w:footerReference w:type="default" r:id="rId5"/>
      <w:headerReference w:type="first" r:id="rId6"/>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THE TAX CUTS AND JOBS ACT 2017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Running head: </w:t>
    </w:r>
    <w:r>
      <w:t>THE</w:t>
    </w:r>
    <w:r>
      <w:t xml:space="preserve"> T</w:t>
    </w:r>
    <w:r>
      <w:t>AX CUT AND JOB</w:t>
    </w:r>
    <w:r>
      <w:t>S</w:t>
    </w:r>
    <w:r>
      <w:t xml:space="preserve"> ACT 2017  </w:t>
    </w:r>
    <w:r>
      <w:t xml:space="preserve">   </w:t>
    </w:r>
    <w:r>
      <w:t xml:space="preserve">                                                         </w:t>
    </w:r>
    <w: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2"/>
        <w:lang w:val="en-US" w:bidi="ar-SA" w:eastAsia="en-US"/>
      </w:rPr>
    </w:rPrDefault>
    <w:pPrDefault>
      <w:pPr>
        <w:spacing w:after="200"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00908de-1164-40a1-9cae-d40b3a9b04b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943ffc6-5ab1-4989-8716-75f6374b6e6d"/>
    <w:basedOn w:val="style65"/>
    <w:next w:val="style4098"/>
    <w:link w:val="style32"/>
    <w:uiPriority w:val="99"/>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Smi18</b:Tag>
    <b:SourceType>DocumentFromInternetSite</b:SourceType>
    <b:Guid>{5438370A-2360-4CB5-A5F0-75D697CBE586}</b:Guid>
    <b:Title>2018 Tax Cuts &amp; Jobs Act Overview</b:Title>
    <b:InternetSiteTitle>https://www.smith-howard.com/</b:InternetSiteTitle>
    <b:Year>2018</b:Year>
    <b:Month>03</b:Month>
    <b:URL>https://www.smith-howard.com/2018-tax-cuts-jobs-act-overview/</b:URL>
    <b:Author>
      <b:Author>
        <b:Corporate>Smith &amp; Howard Certified Public Accountants</b:Corporate>
      </b:Author>
    </b:Author>
    <b:RefOrder>1</b:RefOrder>
  </b:Source>
  <b:Source>
    <b:Tag>Gal20</b:Tag>
    <b:SourceType>DocumentFromInternetSite</b:SourceType>
    <b:Guid>{CF13E75E-6985-487A-A51E-F62A6C6A26F8}</b:Guid>
    <b:Title>Policy 2020 Brookings</b:Title>
    <b:InternetSiteTitle>https://www.brookings.edu/policy2020</b:InternetSiteTitle>
    <b:Year>2020</b:Year>
    <b:Month>02</b:Month>
    <b:Day>14</b:Day>
    <b:URL>https://www.brookings.edu/policy2020/votervital/did-the-2017-tax-cut-the-tax-cuts-and-jobs-act-pay-for-itself/</b:URL>
    <b:Author>
      <b:Author>
        <b:NameList>
          <b:Person>
            <b:Last>Gale</b:Last>
            <b:Middle>William</b:Middle>
            <b:First>G</b:First>
          </b:Person>
        </b:NameList>
      </b:Author>
    </b:Author>
    <b:RefOrder>2</b:RefOrder>
  </b:Source>
  <b:Source>
    <b:Tag>Gal18</b:Tag>
    <b:SourceType>DocumentFromInternetSite</b:SourceType>
    <b:Guid>{FACEDDD6-28B2-457B-A55D-C54657EC7C6C}</b:Guid>
    <b:Title>Tax Policy Center</b:Title>
    <b:InternetSiteTitle>https://www.brookings.edu/</b:InternetSiteTitle>
    <b:Year>2018</b:Year>
    <b:Month>06</b:Month>
    <b:Day>13</b:Day>
    <b:URL>https://www.brookings.edu/wp-content/uploads/2018/06/ES_20180608_tcja_summary_paper_final.pdf</b:URL>
    <b:Author>
      <b:Author>
        <b:NameList>
          <b:Person>
            <b:Last>Gale </b:Last>
            <b:Middle>William</b:Middle>
            <b:First>G</b:First>
          </b:Person>
          <b:Person>
            <b:Last>Gelfond</b:Last>
            <b:First>Hillary</b:First>
          </b:Person>
          <b:Person>
            <b:Last>Krupkin</b:Last>
            <b:First>HIllary</b:First>
          </b:Person>
          <b:Person>
            <b:Last>Mazur</b:Last>
            <b:Middle>Mark</b:Middle>
            <b:First>J</b:First>
          </b:Person>
        </b:NameList>
      </b:Author>
    </b:Author>
    <b:RefOrder>3</b:RefOrder>
  </b:Source>
  <b:Source>
    <b:Tag>Fri19</b:Tag>
    <b:SourceType>DocumentFromInternetSite</b:SourceType>
    <b:Guid>{58C628C1-2F82-4C5A-886B-47C18ACBC035}</b:Guid>
    <b:Title>Corporate and Financial Law</b:Title>
    <b:InternetSiteTitle>https://news.law.fordham.edu/</b:InternetSiteTitle>
    <b:Year>2019</b:Year>
    <b:Month>12</b:Month>
    <b:Day>19</b:Day>
    <b:URL>https://news.law.fordham.edu/jcfl/2019/12/19/economic-effects-of-the-tax-cuts-and-jobs-act/</b:URL>
    <b:Author>
      <b:Author>
        <b:NameList>
          <b:Person>
            <b:Last>Frintzilas</b:Last>
            <b:First>Peter</b:First>
          </b:Person>
        </b:NameList>
      </b:Author>
    </b:Author>
    <b:RefOrder>4</b:RefOrder>
  </b:Source>
</b:Sources>
</file>

<file path=customXml/itemProps1.xml><?xml version="1.0" encoding="utf-8"?>
<ds:datastoreItem xmlns:ds="http://schemas.openxmlformats.org/officeDocument/2006/customXml" ds:itemID="{FF85BB60-EEB3-454D-9EE3-8F822BF44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1862</Words>
  <Pages>9</Pages>
  <Characters>10057</Characters>
  <Application>WPS Office</Application>
  <DocSecurity>0</DocSecurity>
  <Paragraphs>125</Paragraphs>
  <ScaleCrop>false</ScaleCrop>
  <LinksUpToDate>false</LinksUpToDate>
  <CharactersWithSpaces>12096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2020-04-17T12:28:52Z</dcterms:created>
  <dc:creator>Peter Mutunga</dc:creator>
  <lastModifiedBy>STK-L21</lastModifiedBy>
  <dcterms:modified xsi:type="dcterms:W3CDTF">2020-04-17T12:28:52Z</dcterms:modified>
  <revision>29</revision>
</coreProperties>
</file>

<file path=docProps/custom.xml><?xml version="1.0" encoding="utf-8"?>
<Properties xmlns="http://schemas.openxmlformats.org/officeDocument/2006/custom-properties" xmlns:vt="http://schemas.openxmlformats.org/officeDocument/2006/docPropsVTypes"/>
</file>